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AD" w:rsidRDefault="002D71D3" w:rsidP="0017374B">
      <w:pPr>
        <w:jc w:val="center"/>
        <w:rPr>
          <w:b/>
        </w:rPr>
      </w:pPr>
      <w:r>
        <w:rPr>
          <w:b/>
        </w:rPr>
        <w:t>Załącznik A do załącznika 1</w:t>
      </w:r>
      <w:r w:rsidR="00A07DAD">
        <w:rPr>
          <w:b/>
        </w:rPr>
        <w:t>.1 do SWZ</w:t>
      </w:r>
    </w:p>
    <w:p w:rsidR="0017374B" w:rsidRPr="0017374B" w:rsidRDefault="0017374B" w:rsidP="0017374B">
      <w:pPr>
        <w:jc w:val="center"/>
        <w:rPr>
          <w:b/>
        </w:rPr>
      </w:pPr>
      <w:r w:rsidRPr="0017374B">
        <w:rPr>
          <w:b/>
        </w:rPr>
        <w:t>Wymagania techniczne dla zestawu montażowego uprzywilejowania w ruchu</w:t>
      </w:r>
      <w:r w:rsidR="002D71D3">
        <w:rPr>
          <w:b/>
        </w:rPr>
        <w:t xml:space="preserve"> </w:t>
      </w:r>
      <w:r w:rsidR="00A07DAD">
        <w:rPr>
          <w:b/>
        </w:rPr>
        <w:t xml:space="preserve"> </w:t>
      </w:r>
    </w:p>
    <w:p w:rsidR="00583067" w:rsidRDefault="00397C16" w:rsidP="00397C16">
      <w:pPr>
        <w:jc w:val="both"/>
      </w:pPr>
      <w:r>
        <w:t>Pojazd musi spełniać wymagania określone w Rozporządzeniu Ministrów: Spraw Wewnętrznych i Administracji, Obrony Narodowej, Finansów oraz Sprawiedliwości z dnia 22 marca 2019 r. w sprawie pojazdów specjalnych i używanych do celów specjalnych Policji, Agencji Bezpieczeństwa Wewnętrznego, Agencji Wywiadu, Służby Kontrwywiadu Wojskowego, Służby Wywiadu Wojskowego, Centralnego Biura Antykorupcyjnego, Straży Granicznej, Służby Ochrony Państwa, Krajowej Administracji Skarbowej, Służby Więziennej i straży pożarnej.</w:t>
      </w:r>
    </w:p>
    <w:p w:rsidR="00397C16" w:rsidRPr="0017374B" w:rsidRDefault="00397C16" w:rsidP="00397C16">
      <w:pPr>
        <w:jc w:val="both"/>
        <w:rPr>
          <w:b/>
        </w:rPr>
      </w:pPr>
      <w:r w:rsidRPr="0017374B">
        <w:rPr>
          <w:b/>
        </w:rPr>
        <w:t>Pojazd musi być wyposażony w zestaw montażowy systemu uprzywilejowania w ruchu drogowym, w którego skład wchodzić muszą urządzenia określone poniżej.</w:t>
      </w:r>
    </w:p>
    <w:p w:rsidR="00E73395" w:rsidRDefault="00A07DAD" w:rsidP="00E73395">
      <w:pPr>
        <w:jc w:val="both"/>
      </w:pPr>
      <w:r>
        <w:t xml:space="preserve">1. </w:t>
      </w:r>
      <w:r w:rsidR="00E73395">
        <w:t xml:space="preserve">Wymagania techniczne dla instalacji elektrycznej muszą być potwierdzone bilansem elektrycznym wykonanym przez Wykonawcę. Bilans musi uwzględniać parametry nominalne (moc, napięcie, natężenie prądu) wszystkich odbiorników dodatkowych zainstalowanych w pojeździe, oraz całej instalacji elektrycznej pojazdu bazowego. Do ww. bilansu Wykonawca załączy opisy techniczne (w tym dane techniczne i numery seryjne urządzeń), schematy oraz dokumentację zdjęciową całej instalacji elektrycznej oraz wszystkich zastosowanych przez Wykonawcę urządzeń i podzespołów. Ponadto Wykonawca do bilansu dołączy oświadczenie wystawione przez producenta/importera pojazdu bazowego potwierdzające spełnienie wymogu w zakresie </w:t>
      </w:r>
      <w:r>
        <w:t>urządeń uprzywilejowania</w:t>
      </w:r>
      <w:r w:rsidR="00E73395">
        <w:t xml:space="preserve"> oraz zawierające wartość zapotrzebowania pojazdu bazowego na energię elektryczną (napięcie, natężenie prądu oraz moc). Dokumenty potwierdzające spełnienie wymogu muszą być przekazane Zamawiającemu przez Wykonawcę na etapie </w:t>
      </w:r>
      <w:r>
        <w:t>dostawy pojazdów</w:t>
      </w:r>
      <w:r w:rsidR="00E73395">
        <w:t>.</w:t>
      </w:r>
    </w:p>
    <w:p w:rsidR="00A07DAD" w:rsidRDefault="00A07DAD" w:rsidP="00E73395">
      <w:pPr>
        <w:jc w:val="both"/>
      </w:pPr>
      <w:r>
        <w:t xml:space="preserve">2. </w:t>
      </w:r>
      <w:r w:rsidR="00E73395">
        <w:t>Zestaw dla pojazdu musi być wyposażony</w:t>
      </w:r>
      <w:r>
        <w:t>:</w:t>
      </w:r>
    </w:p>
    <w:p w:rsidR="00A07DAD" w:rsidRDefault="00A07DAD" w:rsidP="00A07DAD">
      <w:pPr>
        <w:ind w:left="709" w:hanging="283"/>
        <w:jc w:val="both"/>
      </w:pPr>
      <w:r>
        <w:t>a) w</w:t>
      </w:r>
      <w:r w:rsidR="00E73395">
        <w:t xml:space="preserve"> dodatkowe dwa gniazda zapalniczki z zaślepkami, (do późniejszego montażu lewej i prawej stronie wnętrza pojazdu w miejscach łatwo dostępnych dla kierowcy i dysponenta zasilane bez względu na położenie włącznika zapłonu, każde o prądzie obciążenia min. 10 A, służące do zasiania lamp syg</w:t>
      </w:r>
      <w:r>
        <w:t>nalizacji uprzywilejowania.</w:t>
      </w:r>
    </w:p>
    <w:p w:rsidR="00E73395" w:rsidRDefault="00A07DAD" w:rsidP="00A07DAD">
      <w:pPr>
        <w:ind w:left="709" w:hanging="283"/>
        <w:jc w:val="both"/>
      </w:pPr>
      <w:r w:rsidRPr="00E73395">
        <w:t xml:space="preserve"> </w:t>
      </w:r>
      <w:r>
        <w:t>b) w</w:t>
      </w:r>
      <w:r w:rsidR="00E73395" w:rsidRPr="00E73395">
        <w:t xml:space="preserve"> wy</w:t>
      </w:r>
      <w:r w:rsidR="00E73395" w:rsidRPr="00E73395">
        <w:rPr>
          <w:rFonts w:hint="eastAsia"/>
        </w:rPr>
        <w:t>łą</w:t>
      </w:r>
      <w:r w:rsidR="00E73395" w:rsidRPr="00E73395">
        <w:t>cznik g</w:t>
      </w:r>
      <w:r w:rsidR="00E73395" w:rsidRPr="00E73395">
        <w:rPr>
          <w:rFonts w:hint="eastAsia"/>
        </w:rPr>
        <w:t>łó</w:t>
      </w:r>
      <w:r w:rsidR="00E73395" w:rsidRPr="00E73395">
        <w:t>wny zasilania odbiornik</w:t>
      </w:r>
      <w:r w:rsidR="00E73395" w:rsidRPr="00E73395">
        <w:rPr>
          <w:rFonts w:hint="eastAsia"/>
        </w:rPr>
        <w:t>ó</w:t>
      </w:r>
      <w:r w:rsidR="00E73395" w:rsidRPr="00E73395">
        <w:t>w</w:t>
      </w:r>
      <w:r w:rsidR="00E73395">
        <w:t xml:space="preserve"> </w:t>
      </w:r>
      <w:r w:rsidR="00E73395" w:rsidRPr="00E73395">
        <w:t xml:space="preserve">dodatkowych zabudowy </w:t>
      </w:r>
      <w:r w:rsidR="00E73395">
        <w:t>do późniejszej instalacji</w:t>
      </w:r>
      <w:r w:rsidR="00E73395" w:rsidRPr="00E73395">
        <w:t xml:space="preserve"> w miejscu </w:t>
      </w:r>
      <w:r w:rsidR="00E73395" w:rsidRPr="00E73395">
        <w:rPr>
          <w:rFonts w:hint="eastAsia"/>
        </w:rPr>
        <w:t>ł</w:t>
      </w:r>
      <w:r w:rsidR="00E73395" w:rsidRPr="00E73395">
        <w:t>atwo dost</w:t>
      </w:r>
      <w:r w:rsidR="00E73395" w:rsidRPr="00E73395">
        <w:rPr>
          <w:rFonts w:hint="eastAsia"/>
        </w:rPr>
        <w:t>ę</w:t>
      </w:r>
      <w:r w:rsidR="00E73395" w:rsidRPr="00E73395">
        <w:t>pnym dla kieruj</w:t>
      </w:r>
      <w:r w:rsidR="00E73395" w:rsidRPr="00E73395">
        <w:rPr>
          <w:rFonts w:hint="eastAsia"/>
        </w:rPr>
        <w:t>ą</w:t>
      </w:r>
      <w:r w:rsidR="00E73395" w:rsidRPr="00E73395">
        <w:t>cego</w:t>
      </w:r>
      <w:r w:rsidR="00E73395">
        <w:t xml:space="preserve"> </w:t>
      </w:r>
      <w:r w:rsidR="00E73395" w:rsidRPr="00E73395">
        <w:t>pojazdem.</w:t>
      </w:r>
    </w:p>
    <w:p w:rsidR="000672FE" w:rsidRDefault="00A07DAD" w:rsidP="00E73395">
      <w:pPr>
        <w:jc w:val="both"/>
      </w:pPr>
      <w:r>
        <w:t xml:space="preserve">3. </w:t>
      </w:r>
      <w:r w:rsidR="000672FE">
        <w:t>W skład zestawu montażowego wchodzą również:</w:t>
      </w:r>
    </w:p>
    <w:p w:rsidR="000672FE" w:rsidRDefault="00A07DAD" w:rsidP="000672FE">
      <w:pPr>
        <w:pStyle w:val="Akapitzlist"/>
        <w:numPr>
          <w:ilvl w:val="0"/>
          <w:numId w:val="2"/>
        </w:numPr>
        <w:jc w:val="both"/>
      </w:pPr>
      <w:r>
        <w:t>s</w:t>
      </w:r>
      <w:r w:rsidR="000672FE">
        <w:t>krzynka bezpiecznikowa uwzględniająca wszystkie elementy adaptacji pojazdu</w:t>
      </w:r>
    </w:p>
    <w:p w:rsidR="000672FE" w:rsidRDefault="00A07DAD" w:rsidP="000672FE">
      <w:pPr>
        <w:pStyle w:val="Akapitzlist"/>
        <w:numPr>
          <w:ilvl w:val="0"/>
          <w:numId w:val="2"/>
        </w:numPr>
        <w:jc w:val="both"/>
      </w:pPr>
      <w:r>
        <w:t>z</w:t>
      </w:r>
      <w:r w:rsidR="000672FE">
        <w:t xml:space="preserve">estaw wiązek i kabli niezbędnych do połączenia fabrycznego akumulatora wraz z wszystkimi elementami adaptacji. </w:t>
      </w:r>
      <w:bookmarkStart w:id="0" w:name="_GoBack"/>
      <w:bookmarkEnd w:id="0"/>
    </w:p>
    <w:p w:rsidR="00397C16" w:rsidRDefault="009D236E" w:rsidP="00397C16">
      <w:pPr>
        <w:jc w:val="both"/>
      </w:pPr>
      <w:r>
        <w:t xml:space="preserve">4. </w:t>
      </w:r>
      <w:r w:rsidR="00397C16">
        <w:t>Wszystkie urządzenia świetlne sygnalizacji uprzywilejowania emitujące światło koloru niebieskiego i czerwonego muszą posiadać świadectwo homologacji na zgodność z Regulaminem 65 EKG ONZ dla klasy 2. Urządzenia świetlne muszą być wyposażone w automatyczną funkcję przełączania trybu dzień/noc. Funkcja włączenia jednego z trybów musi być sygnalizowana świeceniem się lampki kontrolnej umieszczonej np. w mani</w:t>
      </w:r>
      <w:r>
        <w:t>pulatorze.</w:t>
      </w:r>
    </w:p>
    <w:p w:rsidR="00397C16" w:rsidRDefault="009D236E" w:rsidP="00397C16">
      <w:pPr>
        <w:jc w:val="both"/>
      </w:pPr>
      <w:r>
        <w:t xml:space="preserve">5. </w:t>
      </w:r>
      <w:r w:rsidR="00397C16">
        <w:t xml:space="preserve">W skład zestawu wchodzą jedna lampa LED, o barwie światła niebieskiej z mocowaniem magnetycznym. Klosz każdej z lamp (bez elementów mocujących do pojazdu) musi mieć wysokość min. 100 mm a element emitujący światło każdej lampy musi mieć wysokość min. 70 mm. Każda lampa musi posiadać przewód spiralny o długości w zakresie od 5 do 5,5 metra w stanie rozciągniętym służący do jej zasilania z gniazd 12V montowanych na słupkach B. Podstawa lampy nie </w:t>
      </w:r>
      <w:r w:rsidR="00397C16">
        <w:lastRenderedPageBreak/>
        <w:t>może powodować uszkodzeń powłoki lakierniczej dachu pojazdu. Sposób mocowania lamp musi zapewniać możliwość jazdy pojazdem z maksymalną prędkością określoną dla pojazdu bazowego. Spełnienie wymogu musi być potwierdzone oświadczeniem Wykonawcy wystawionym na podstawie opinii lub sprawozdania z badań, wydanego przez akredytowaną jednostkę badawczą. Dokumenty potwierdzające spełnienie wymogu muszą być przekazane Zamawiającemu przez Wykonawcę w fazie składania oferty. Wykonawca we wnętrzu pojazdu musi zapewnić miejsca do przewozu lamp LED umożliwiające ich łatwe podłączenie i umieszczenie na dachu pojazdu przez funkcjonariuszy poruszających się pojazdem.</w:t>
      </w:r>
    </w:p>
    <w:p w:rsidR="00DD6066" w:rsidRDefault="009D236E" w:rsidP="00DD6066">
      <w:pPr>
        <w:jc w:val="both"/>
      </w:pPr>
      <w:r>
        <w:t xml:space="preserve">6. </w:t>
      </w:r>
      <w:r w:rsidR="00397C16">
        <w:t xml:space="preserve">Dwie lampy LED </w:t>
      </w:r>
      <w:r w:rsidR="00DD6066">
        <w:t xml:space="preserve">wraz z ramkami mocującymi dedykowanymi do pojazdu bazowego </w:t>
      </w:r>
      <w:r w:rsidR="00397C16">
        <w:t xml:space="preserve">o kloszach bezbarwnych, o barwie światła niebieskiej przystosowane do </w:t>
      </w:r>
      <w:r w:rsidR="00DD6066">
        <w:t xml:space="preserve">montażu zakamuflowanego w </w:t>
      </w:r>
      <w:r w:rsidR="00397C16">
        <w:t>przedniej części pojazdu, w atrapie chłodnicy lub w zderzaku przednim</w:t>
      </w:r>
      <w:r w:rsidR="00DD6066">
        <w:t xml:space="preserve">. </w:t>
      </w:r>
      <w:r w:rsidR="00397C16">
        <w:t xml:space="preserve">Lampy </w:t>
      </w:r>
      <w:r w:rsidR="00DD6066">
        <w:t xml:space="preserve">po montażu przez Zamawiającego </w:t>
      </w:r>
      <w:r w:rsidR="00397C16">
        <w:t xml:space="preserve">muszą </w:t>
      </w:r>
      <w:r w:rsidR="00DD6066">
        <w:t>umożliwiać</w:t>
      </w:r>
      <w:r w:rsidR="00397C16">
        <w:t xml:space="preserve"> mycie pojazdu w myjni automatycznej szczotkowej bez</w:t>
      </w:r>
      <w:r w:rsidR="00DD6066">
        <w:t xml:space="preserve"> </w:t>
      </w:r>
      <w:r w:rsidR="00397C16">
        <w:t>konieczności ich demontażu. Lampy muszą świecić naprzemiennie.</w:t>
      </w:r>
    </w:p>
    <w:p w:rsidR="00DD6066" w:rsidRDefault="009D236E" w:rsidP="00DD6066">
      <w:pPr>
        <w:jc w:val="both"/>
      </w:pPr>
      <w:r>
        <w:t xml:space="preserve">7. </w:t>
      </w:r>
      <w:r w:rsidR="00397C16">
        <w:t>Każda z lamp LED</w:t>
      </w:r>
      <w:r>
        <w:t xml:space="preserve"> </w:t>
      </w:r>
      <w:r w:rsidR="00397C16">
        <w:t>musi posiadać jeden rząd z co</w:t>
      </w:r>
      <w:r w:rsidR="00DD6066">
        <w:t xml:space="preserve"> </w:t>
      </w:r>
      <w:r w:rsidR="00397C16">
        <w:t>najmniej czterema LED-ami o wysokiej światłości.</w:t>
      </w:r>
    </w:p>
    <w:p w:rsidR="00397C16" w:rsidRDefault="009D236E" w:rsidP="00DD6066">
      <w:pPr>
        <w:jc w:val="both"/>
      </w:pPr>
      <w:r>
        <w:t xml:space="preserve">8. </w:t>
      </w:r>
      <w:r w:rsidR="00397C16">
        <w:t xml:space="preserve"> Wszystkie zastosowane w pojeździe lampy uprzywilejowania w ruchu drogowym</w:t>
      </w:r>
      <w:r w:rsidR="00DD6066">
        <w:t xml:space="preserve"> </w:t>
      </w:r>
      <w:r w:rsidR="00397C16">
        <w:t>muszą:</w:t>
      </w:r>
    </w:p>
    <w:p w:rsidR="00397C16" w:rsidRDefault="00397C16" w:rsidP="00DD6066">
      <w:pPr>
        <w:pStyle w:val="Akapitzlist"/>
        <w:jc w:val="both"/>
      </w:pPr>
      <w:r>
        <w:t>a) posiadać homologację,</w:t>
      </w:r>
    </w:p>
    <w:p w:rsidR="00397C16" w:rsidRDefault="00397C16" w:rsidP="00DD6066">
      <w:pPr>
        <w:pStyle w:val="Akapitzlist"/>
        <w:jc w:val="both"/>
      </w:pPr>
      <w:r>
        <w:t xml:space="preserve">b) być </w:t>
      </w:r>
      <w:r w:rsidR="00DD6066">
        <w:t xml:space="preserve">przystosowane do </w:t>
      </w:r>
      <w:r>
        <w:t>zamontowan</w:t>
      </w:r>
      <w:r w:rsidR="00DD6066">
        <w:t>a</w:t>
      </w:r>
      <w:r>
        <w:t xml:space="preserve"> lub umieszcz</w:t>
      </w:r>
      <w:r w:rsidR="00DD6066">
        <w:t>e</w:t>
      </w:r>
      <w:r>
        <w:t>n</w:t>
      </w:r>
      <w:r w:rsidR="00DD6066">
        <w:t>ia</w:t>
      </w:r>
      <w:r>
        <w:t xml:space="preserve"> w taki sposób, aby źródło światła było</w:t>
      </w:r>
      <w:r w:rsidR="00DD6066">
        <w:t xml:space="preserve"> </w:t>
      </w:r>
      <w:r>
        <w:t>skierowane prostopadle do osi poziomej pojazdu,</w:t>
      </w:r>
    </w:p>
    <w:p w:rsidR="00397C16" w:rsidRDefault="00397C16" w:rsidP="00DD6066">
      <w:pPr>
        <w:pStyle w:val="Akapitzlist"/>
        <w:jc w:val="both"/>
      </w:pPr>
      <w:r>
        <w:t>c) posiadać klosze wykonane z poliwęglanu.</w:t>
      </w:r>
    </w:p>
    <w:p w:rsidR="00397C16" w:rsidRDefault="009D236E" w:rsidP="00DD6066">
      <w:pPr>
        <w:jc w:val="both"/>
      </w:pPr>
      <w:r>
        <w:t xml:space="preserve">9. </w:t>
      </w:r>
      <w:r w:rsidR="00DD6066">
        <w:t>U</w:t>
      </w:r>
      <w:r w:rsidR="00397C16">
        <w:t>rządzenie wysyłające ostrzegawcze sygnały</w:t>
      </w:r>
      <w:r w:rsidR="00DD6066">
        <w:t xml:space="preserve"> </w:t>
      </w:r>
      <w:r w:rsidR="00397C16">
        <w:t>dźwiękowe uprzywilejowania pojazdu w ruchu drogowym i rozgłaszające</w:t>
      </w:r>
      <w:r w:rsidR="00DD6066">
        <w:t xml:space="preserve"> </w:t>
      </w:r>
      <w:r w:rsidR="00397C16">
        <w:t>komunikaty</w:t>
      </w:r>
      <w:r w:rsidR="00DD6066">
        <w:t xml:space="preserve"> wraz z manipulatorem z wbudowanym mikrofonem, które po montażu </w:t>
      </w:r>
      <w:r w:rsidR="00397C16">
        <w:t xml:space="preserve"> musi:</w:t>
      </w:r>
    </w:p>
    <w:p w:rsidR="00DD6066" w:rsidRDefault="00397C16" w:rsidP="00DD6066">
      <w:pPr>
        <w:pStyle w:val="Akapitzlist"/>
        <w:jc w:val="both"/>
      </w:pPr>
      <w:r>
        <w:t>a) wytwarzać dźwięki, których ekwiwalentny poziom ciśnienia akustycznego wg</w:t>
      </w:r>
      <w:r w:rsidR="00DD6066">
        <w:t xml:space="preserve"> </w:t>
      </w:r>
      <w:r>
        <w:t>krzywej korekcyjnej A mierzony całkującym miernikiem poziomu dźwięku</w:t>
      </w:r>
      <w:r w:rsidR="00DD6066">
        <w:t xml:space="preserve"> </w:t>
      </w:r>
      <w:r>
        <w:t>umieszczonym w odległości 7 m od przedniego zderzaka pojazdu musi zawierać</w:t>
      </w:r>
      <w:r w:rsidR="00DD6066">
        <w:t xml:space="preserve"> </w:t>
      </w:r>
      <w:r>
        <w:t>się w granicach 105 dB(A) ÷ 115 dB(A), dla każdego rodzaju dźwięku. Warunki</w:t>
      </w:r>
      <w:r w:rsidR="00DD6066">
        <w:t xml:space="preserve"> </w:t>
      </w:r>
      <w:r>
        <w:t>badań wg PN-92/S-76004 lub regulaminu 28 EKG ONZ. Spełnienie wymogu</w:t>
      </w:r>
      <w:r w:rsidR="00DD6066">
        <w:t xml:space="preserve"> </w:t>
      </w:r>
      <w:r>
        <w:t>musi być potwierdzone oświadczeniem Wykonawcy wystawionym na</w:t>
      </w:r>
      <w:r w:rsidR="00DD6066">
        <w:t xml:space="preserve"> </w:t>
      </w:r>
      <w:r>
        <w:t>podstawie opinii lub sprawozdania z badań wydanego dla pojazdu</w:t>
      </w:r>
      <w:r w:rsidR="00DD6066">
        <w:t xml:space="preserve"> </w:t>
      </w:r>
      <w:r>
        <w:t>reprezentatywnego przez akredytowaną jednostkę badawczą. Dokumenty</w:t>
      </w:r>
      <w:r w:rsidR="00DD6066">
        <w:t xml:space="preserve"> </w:t>
      </w:r>
      <w:r>
        <w:t>potwierdzające spełnienie wymogu muszą być przekazane Zamawiającemu</w:t>
      </w:r>
      <w:r w:rsidR="00DD6066">
        <w:t xml:space="preserve"> </w:t>
      </w:r>
      <w:r>
        <w:t xml:space="preserve">przez Wykonawcę </w:t>
      </w:r>
      <w:r w:rsidR="00DD6066">
        <w:t>na etapie składania ofert</w:t>
      </w:r>
      <w:r>
        <w:t>,</w:t>
      </w:r>
    </w:p>
    <w:p w:rsidR="00DD6066" w:rsidRDefault="00397C16" w:rsidP="00DD6066">
      <w:pPr>
        <w:pStyle w:val="Akapitzlist"/>
        <w:jc w:val="both"/>
      </w:pPr>
      <w:r>
        <w:t>b) wytwarzać dźwięki, których ekwiwalentny poziom ciśnienia akustycznego wg</w:t>
      </w:r>
      <w:r w:rsidR="00DD6066">
        <w:t xml:space="preserve"> </w:t>
      </w:r>
      <w:r>
        <w:t>krzywej korekcyjnej A mierzony całkującym miernikiem poziomu dźwięku w kabinie,</w:t>
      </w:r>
      <w:r w:rsidR="00DD6066">
        <w:t xml:space="preserve"> </w:t>
      </w:r>
      <w:r>
        <w:t>na postoju nie może przekraczać 80 dB(A), dla każdego rodzaju dźwięku. Warunki</w:t>
      </w:r>
      <w:r w:rsidR="00DD6066">
        <w:t xml:space="preserve"> </w:t>
      </w:r>
      <w:r>
        <w:t>badań wg PN-90/S-04052 ISO 5128. Spełnienie wymogu musi być</w:t>
      </w:r>
      <w:r w:rsidR="00DD6066">
        <w:t xml:space="preserve"> </w:t>
      </w:r>
      <w:r>
        <w:t>potwierdzone oświadczeniem Wykonawcy wystawionym na podstawie opinii</w:t>
      </w:r>
      <w:r w:rsidR="00DD6066">
        <w:t xml:space="preserve"> </w:t>
      </w:r>
      <w:r>
        <w:t>lub sprawozdania z badań wydanego dla pojazdu reprezentatywnego przez</w:t>
      </w:r>
      <w:r w:rsidR="00DD6066">
        <w:t xml:space="preserve"> </w:t>
      </w:r>
      <w:r>
        <w:t>akredytowaną jednostkę badawczą. Dokumenty potwierdzające spełnienie</w:t>
      </w:r>
      <w:r w:rsidR="00DD6066">
        <w:t xml:space="preserve"> </w:t>
      </w:r>
      <w:r>
        <w:t>wymogu muszą być przekazane Zamawiającemu przez Wykonawcę w fazie</w:t>
      </w:r>
      <w:r w:rsidR="00DD6066">
        <w:t xml:space="preserve"> składania ofert</w:t>
      </w:r>
      <w:r>
        <w:t>,</w:t>
      </w:r>
    </w:p>
    <w:p w:rsidR="00397C16" w:rsidRDefault="00397C16" w:rsidP="00DD6066">
      <w:pPr>
        <w:pStyle w:val="Akapitzlist"/>
        <w:jc w:val="both"/>
      </w:pPr>
      <w:r>
        <w:t>c) spełniać wymagania dla obudów ochronnych, co najmniej w klasie IP 56 wg normy</w:t>
      </w:r>
      <w:r w:rsidR="00DD6066">
        <w:t xml:space="preserve"> </w:t>
      </w:r>
      <w:r>
        <w:t>PN-EN 60529:2003.</w:t>
      </w:r>
      <w:r w:rsidR="00DD6066">
        <w:t xml:space="preserve"> </w:t>
      </w:r>
      <w:r>
        <w:t>Spełnienie wymogu musi być potwierdzone oświadczeniem Wykonawcy</w:t>
      </w:r>
      <w:r w:rsidR="00DD6066">
        <w:t xml:space="preserve"> </w:t>
      </w:r>
      <w:r>
        <w:t>wystawionym na podstawie opinii lub sprawozdania z badań wydanego</w:t>
      </w:r>
      <w:r w:rsidR="00DD6066">
        <w:t xml:space="preserve"> </w:t>
      </w:r>
      <w:r>
        <w:t>przez akredytowaną jednostkę badawczą. Dokumenty potwierdzające</w:t>
      </w:r>
      <w:r w:rsidR="00DD6066">
        <w:t xml:space="preserve"> </w:t>
      </w:r>
      <w:r>
        <w:t>spełnienie wymogu muszą być przekazane Zamawiającemu przez</w:t>
      </w:r>
      <w:r w:rsidR="00DD6066">
        <w:t xml:space="preserve"> </w:t>
      </w:r>
      <w:r>
        <w:t xml:space="preserve">Wykonawcę </w:t>
      </w:r>
      <w:r w:rsidR="00DD6066">
        <w:t>na etapie składania ofert,</w:t>
      </w:r>
    </w:p>
    <w:p w:rsidR="00397C16" w:rsidRDefault="009D236E" w:rsidP="009D236E">
      <w:pPr>
        <w:jc w:val="both"/>
      </w:pPr>
      <w:r>
        <w:t xml:space="preserve">10.  </w:t>
      </w:r>
      <w:r w:rsidR="00397C16">
        <w:t>Urządzen</w:t>
      </w:r>
      <w:r>
        <w:t xml:space="preserve">ie, o którym mowa w pkt. 9 </w:t>
      </w:r>
      <w:r w:rsidR="00397C16">
        <w:t xml:space="preserve"> musi ponadto posiadać funkcje:</w:t>
      </w:r>
    </w:p>
    <w:p w:rsidR="00397C16" w:rsidRDefault="00397C16" w:rsidP="00DD6066">
      <w:pPr>
        <w:pStyle w:val="Akapitzlist"/>
        <w:jc w:val="both"/>
      </w:pPr>
      <w:r>
        <w:lastRenderedPageBreak/>
        <w:t>a) wytwarzania, co najmniej 3 rodzajów dźwięków,</w:t>
      </w:r>
    </w:p>
    <w:p w:rsidR="00397C16" w:rsidRDefault="00397C16" w:rsidP="00DD6066">
      <w:pPr>
        <w:pStyle w:val="Akapitzlist"/>
        <w:jc w:val="both"/>
      </w:pPr>
      <w:r>
        <w:t>b) przełączania tonu sygnału uprzywilejowania: „Le-on”, „Wilk”, „Pies” (Hi-lo, Yelp,</w:t>
      </w:r>
      <w:r w:rsidR="00DD6066">
        <w:t xml:space="preserve"> </w:t>
      </w:r>
      <w:r>
        <w:t>Wail) co najmniej z wykorzystaniem klaksonu pojazdu,</w:t>
      </w:r>
    </w:p>
    <w:p w:rsidR="00397C16" w:rsidRDefault="00397C16" w:rsidP="00DD6066">
      <w:pPr>
        <w:pStyle w:val="Akapitzlist"/>
        <w:jc w:val="both"/>
      </w:pPr>
      <w:r>
        <w:t>c) sterowania lampami sygnalizacji świetlnej uprzywilejowania,</w:t>
      </w:r>
    </w:p>
    <w:p w:rsidR="00397C16" w:rsidRDefault="00397C16" w:rsidP="00DD6066">
      <w:pPr>
        <w:pStyle w:val="Akapitzlist"/>
        <w:jc w:val="both"/>
      </w:pPr>
      <w:r>
        <w:t>d) rozgłaszania komunikatów i sterowania urządzeniem rozgłoszeniowym.</w:t>
      </w:r>
    </w:p>
    <w:p w:rsidR="00DD6066" w:rsidRDefault="009D236E" w:rsidP="009D236E">
      <w:pPr>
        <w:jc w:val="both"/>
      </w:pPr>
      <w:r>
        <w:t xml:space="preserve">11. </w:t>
      </w:r>
      <w:r w:rsidR="00DD6066">
        <w:t>Manipulator możliwy do montażu zakamuflowanego w</w:t>
      </w:r>
      <w:r w:rsidR="00397C16">
        <w:t>e wnętrzu pojazdu w miejscu gwarantującym</w:t>
      </w:r>
      <w:r w:rsidR="00DD6066">
        <w:t xml:space="preserve"> </w:t>
      </w:r>
      <w:r w:rsidR="00397C16">
        <w:t>ł</w:t>
      </w:r>
      <w:r>
        <w:t>atwa obsługę przez dysponenta i kierowcę</w:t>
      </w:r>
    </w:p>
    <w:p w:rsidR="00397C16" w:rsidRDefault="009D236E" w:rsidP="009D236E">
      <w:pPr>
        <w:jc w:val="both"/>
      </w:pPr>
      <w:r>
        <w:t xml:space="preserve">12. </w:t>
      </w:r>
      <w:r w:rsidR="00397C16">
        <w:t>W celu zagwarantowania niezawodnej i długotrwałej pracy urządzeń</w:t>
      </w:r>
      <w:r w:rsidR="00DD6066">
        <w:t xml:space="preserve"> </w:t>
      </w:r>
      <w:r w:rsidR="00397C16">
        <w:t xml:space="preserve">sygnalizacji uprzywilejowania w ruchu drogowym, Zamawiający wymaga, aby Wykonawca </w:t>
      </w:r>
      <w:r w:rsidR="00DD6066">
        <w:t>dostarczył</w:t>
      </w:r>
      <w:r w:rsidR="00397C16">
        <w:t xml:space="preserve"> w</w:t>
      </w:r>
      <w:r w:rsidR="00DD6066">
        <w:t xml:space="preserve"> </w:t>
      </w:r>
      <w:r w:rsidR="00397C16">
        <w:t>pojeździe urządzenia tego samego producenta (takiej samej marki) posiadającego</w:t>
      </w:r>
      <w:r w:rsidR="00DD6066">
        <w:t xml:space="preserve"> </w:t>
      </w:r>
      <w:r w:rsidR="00397C16">
        <w:t>autoryzowane punkty serwisowe i/lub autoryzowanych dystrybutorów na terenie</w:t>
      </w:r>
      <w:r w:rsidR="00DD6066">
        <w:t xml:space="preserve"> </w:t>
      </w:r>
      <w:r w:rsidR="00397C16">
        <w:t>Polski</w:t>
      </w:r>
      <w:r w:rsidR="00DD6066">
        <w:t>, oraz uwzględnił w cenie konsu</w:t>
      </w:r>
      <w:r w:rsidR="00E73395">
        <w:t>ltacje i szkolenia techniczne dla co najmniej 10</w:t>
      </w:r>
      <w:r>
        <w:t xml:space="preserve"> pracowników warsztatu Zamawiają</w:t>
      </w:r>
      <w:r w:rsidR="00E73395">
        <w:t xml:space="preserve">cego w </w:t>
      </w:r>
      <w:r>
        <w:t>I kwartale</w:t>
      </w:r>
      <w:r w:rsidR="00E73395">
        <w:t xml:space="preserve"> 2025 roku</w:t>
      </w:r>
    </w:p>
    <w:p w:rsidR="00397C16" w:rsidRDefault="009D236E" w:rsidP="009D236E">
      <w:pPr>
        <w:jc w:val="both"/>
      </w:pPr>
      <w:r>
        <w:t xml:space="preserve">13. </w:t>
      </w:r>
      <w:r w:rsidR="00397C16">
        <w:t>Działanie systemu sygnalizacji uprzywilejowania pojazdu w ruchu drogowym musi</w:t>
      </w:r>
      <w:r w:rsidR="00E73395">
        <w:t xml:space="preserve"> </w:t>
      </w:r>
      <w:r w:rsidR="00397C16">
        <w:t>spełniać następujące warunki:</w:t>
      </w:r>
    </w:p>
    <w:p w:rsidR="00397C16" w:rsidRDefault="00397C16" w:rsidP="00E73395">
      <w:pPr>
        <w:pStyle w:val="Akapitzlist"/>
        <w:jc w:val="both"/>
      </w:pPr>
      <w:r>
        <w:t>a) włączenie sygnalizacji dźwiękowej musi pociągać za sobą jednocześnie włączenie</w:t>
      </w:r>
      <w:r w:rsidR="00E73395">
        <w:t xml:space="preserve"> </w:t>
      </w:r>
      <w:r>
        <w:t>sygnalizacji świetlnej (nie może być możliwości włączenia samej sygnalizacji</w:t>
      </w:r>
      <w:r w:rsidR="00E73395">
        <w:t xml:space="preserve"> </w:t>
      </w:r>
      <w:r>
        <w:t>dźwiękowej, tj. bez równoczesnej sygnalizacji świetlnej),</w:t>
      </w:r>
    </w:p>
    <w:p w:rsidR="00397C16" w:rsidRDefault="00397C16" w:rsidP="00E73395">
      <w:pPr>
        <w:pStyle w:val="Akapitzlist"/>
        <w:jc w:val="both"/>
      </w:pPr>
      <w:r>
        <w:t>b) musi istnieć możliwość włączenia samej sygnalizacji świetlnej (bez sygnalizacji</w:t>
      </w:r>
      <w:r w:rsidR="00E73395">
        <w:t xml:space="preserve"> </w:t>
      </w:r>
      <w:r>
        <w:t>dźwiękowej),</w:t>
      </w:r>
      <w:r w:rsidR="00E73395">
        <w:t xml:space="preserve"> </w:t>
      </w:r>
      <w:r>
        <w:t>włączenie lamp uprzywilejowania pojazdu w ruchu drogowym musi być</w:t>
      </w:r>
      <w:r w:rsidR="00E73395">
        <w:t xml:space="preserve"> </w:t>
      </w:r>
      <w:r>
        <w:t>sygnalizowane lampką kontrolną,</w:t>
      </w:r>
    </w:p>
    <w:p w:rsidR="00397C16" w:rsidRDefault="00397C16" w:rsidP="00E73395">
      <w:pPr>
        <w:pStyle w:val="Akapitzlist"/>
        <w:jc w:val="both"/>
      </w:pPr>
      <w:r>
        <w:t>d) włączenie sygnalizacji świetlnej o barwie światła czerwonej musi pociągać za sobą</w:t>
      </w:r>
      <w:r w:rsidR="00E73395">
        <w:t xml:space="preserve"> </w:t>
      </w:r>
      <w:r>
        <w:t>włączenie sygnalizacji świetlnej o barwie światła niebieskiej, nie może być</w:t>
      </w:r>
      <w:r w:rsidR="00E73395">
        <w:t xml:space="preserve"> </w:t>
      </w:r>
      <w:r>
        <w:t>możliwości włączenia samej sygnalizacji świetlnej o barwie światła czerwonej,</w:t>
      </w:r>
    </w:p>
    <w:p w:rsidR="00397C16" w:rsidRDefault="00397C16" w:rsidP="00E73395">
      <w:pPr>
        <w:pStyle w:val="Akapitzlist"/>
        <w:jc w:val="both"/>
      </w:pPr>
      <w:r>
        <w:t>e) włączenie urządzenia rozgłoszeniowego musi przerywać emisję dźwiękowych</w:t>
      </w:r>
      <w:r w:rsidR="00E73395">
        <w:t xml:space="preserve"> </w:t>
      </w:r>
      <w:r>
        <w:t>sygnałów ostrzegawczych, zaś jego wyłączenie powodować dalszą pracę</w:t>
      </w:r>
      <w:r w:rsidR="00E73395">
        <w:t xml:space="preserve"> </w:t>
      </w:r>
      <w:r>
        <w:t>sygnalizacji dźwiękowej, o ile była ona wcześniej włączona,</w:t>
      </w:r>
    </w:p>
    <w:p w:rsidR="00397C16" w:rsidRDefault="00397C16" w:rsidP="00E73395">
      <w:pPr>
        <w:pStyle w:val="Akapitzlist"/>
        <w:jc w:val="both"/>
      </w:pPr>
      <w:r>
        <w:t>f) działanie sygnalizacji świetlnej musi być możliwe również przy wyjętym kluczyku</w:t>
      </w:r>
      <w:r w:rsidR="00E73395">
        <w:t xml:space="preserve"> </w:t>
      </w:r>
      <w:r>
        <w:t>ze stacyjki pojazdu,</w:t>
      </w:r>
    </w:p>
    <w:p w:rsidR="00397C16" w:rsidRDefault="00397C16" w:rsidP="00E73395">
      <w:pPr>
        <w:pStyle w:val="Akapitzlist"/>
        <w:jc w:val="both"/>
      </w:pPr>
      <w:r>
        <w:t>g) przy zapalonych światłach do jazdy dziennej włączenie sygnalizacji dźwiękowej</w:t>
      </w:r>
      <w:r w:rsidR="00E73395">
        <w:t xml:space="preserve"> </w:t>
      </w:r>
      <w:r>
        <w:t>musi pociągać za sobą włączenie świateł mijania, a wyłączenie sygnalizacji</w:t>
      </w:r>
      <w:r w:rsidR="00E73395">
        <w:t xml:space="preserve"> </w:t>
      </w:r>
      <w:r>
        <w:t>dźwiękowej musi powodować wyłączenie świateł mijania i powrót do funkcji</w:t>
      </w:r>
      <w:r w:rsidR="00E73395">
        <w:t xml:space="preserve"> </w:t>
      </w:r>
      <w:r>
        <w:t>świecenia świateł do jazdy dziennej.</w:t>
      </w:r>
    </w:p>
    <w:p w:rsidR="00397C16" w:rsidRDefault="00397C16" w:rsidP="00E73395">
      <w:pPr>
        <w:pStyle w:val="Akapitzlist"/>
        <w:jc w:val="both"/>
      </w:pPr>
      <w:r>
        <w:t xml:space="preserve">Spełnienie </w:t>
      </w:r>
      <w:r w:rsidR="009D236E">
        <w:t>wymagań określonych niniejszym załaczniku</w:t>
      </w:r>
      <w:r>
        <w:t>, o ile nie zostały szczegółowo</w:t>
      </w:r>
      <w:r w:rsidR="00E73395">
        <w:t xml:space="preserve"> </w:t>
      </w:r>
      <w:r>
        <w:t>opisane w poszczególnych punktach, muszą być potwierdzone</w:t>
      </w:r>
      <w:r w:rsidR="00E73395">
        <w:t xml:space="preserve"> </w:t>
      </w:r>
      <w:r>
        <w:t>oświadczeniem Wykonawcy. Dokumenty potwierdzające spełnienie wymogu</w:t>
      </w:r>
      <w:r w:rsidR="00E73395">
        <w:t xml:space="preserve"> </w:t>
      </w:r>
      <w:r>
        <w:t>muszą być przekazane Zamawiającemu przez Wykonawcę w</w:t>
      </w:r>
      <w:r w:rsidR="00E73395">
        <w:t>raz z ofertą.</w:t>
      </w:r>
    </w:p>
    <w:p w:rsidR="00753B3C" w:rsidRDefault="00753B3C" w:rsidP="00E73395">
      <w:pPr>
        <w:pStyle w:val="Akapitzlist"/>
        <w:jc w:val="both"/>
      </w:pPr>
    </w:p>
    <w:p w:rsidR="00753B3C" w:rsidRDefault="00753B3C" w:rsidP="00E73395">
      <w:pPr>
        <w:pStyle w:val="Akapitzlist"/>
        <w:jc w:val="both"/>
        <w:rPr>
          <w:sz w:val="24"/>
          <w:szCs w:val="24"/>
        </w:rPr>
      </w:pPr>
      <w:r w:rsidRPr="00753B3C">
        <w:rPr>
          <w:sz w:val="24"/>
          <w:szCs w:val="24"/>
        </w:rPr>
        <w:t xml:space="preserve">OŚWIADCZAM , ŻE ZAOFEROWANE PRZEZE MNIE POJAZDY BĘDĄ SPEŁNIAĆ </w:t>
      </w:r>
      <w:r w:rsidRPr="00753B3C">
        <w:rPr>
          <w:b/>
          <w:sz w:val="24"/>
          <w:szCs w:val="24"/>
        </w:rPr>
        <w:t>Wymagania techniczne dla zestawu montażowego uprzywilejowania w ruchu</w:t>
      </w:r>
      <w:r w:rsidRPr="00753B3C">
        <w:rPr>
          <w:sz w:val="24"/>
          <w:szCs w:val="24"/>
        </w:rPr>
        <w:t xml:space="preserve">  WSKAZANE W ZAŁĄCZNIKU A DO ZAŁ. NR 1.1 DO SWZ.</w:t>
      </w:r>
    </w:p>
    <w:p w:rsidR="00753B3C" w:rsidRPr="000A5897" w:rsidRDefault="00753B3C" w:rsidP="00753B3C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0A5897">
        <w:rPr>
          <w:rFonts w:ascii="Calibri" w:hAnsi="Calibri" w:cs="Calibri"/>
          <w:color w:val="000000"/>
          <w:sz w:val="20"/>
          <w:szCs w:val="20"/>
        </w:rPr>
        <w:t>data ………………………………</w:t>
      </w:r>
    </w:p>
    <w:p w:rsidR="00753B3C" w:rsidRPr="000A5897" w:rsidRDefault="00753B3C" w:rsidP="00753B3C">
      <w:pPr>
        <w:jc w:val="center"/>
        <w:rPr>
          <w:rFonts w:ascii="Calibri" w:hAnsi="Calibri" w:cs="Calibri"/>
          <w:sz w:val="20"/>
          <w:szCs w:val="20"/>
        </w:rPr>
      </w:pPr>
      <w:r w:rsidRPr="000A5897">
        <w:rPr>
          <w:rFonts w:ascii="Calibri" w:hAnsi="Calibri" w:cs="Calibri"/>
          <w:sz w:val="20"/>
          <w:szCs w:val="20"/>
        </w:rPr>
        <w:t>…………………………………………………………................................................</w:t>
      </w:r>
    </w:p>
    <w:p w:rsidR="00753B3C" w:rsidRPr="000A5897" w:rsidRDefault="00753B3C" w:rsidP="00753B3C">
      <w:pPr>
        <w:jc w:val="center"/>
        <w:rPr>
          <w:rFonts w:ascii="Calibri" w:hAnsi="Calibri" w:cs="Calibri"/>
          <w:sz w:val="20"/>
          <w:szCs w:val="20"/>
        </w:rPr>
      </w:pPr>
      <w:r w:rsidRPr="000A5897">
        <w:rPr>
          <w:rFonts w:ascii="Calibri" w:hAnsi="Calibri" w:cs="Calibri"/>
          <w:sz w:val="20"/>
          <w:szCs w:val="20"/>
        </w:rPr>
        <w:t xml:space="preserve">(podpis </w:t>
      </w:r>
      <w:r>
        <w:rPr>
          <w:rFonts w:ascii="Calibri" w:hAnsi="Calibri" w:cs="Calibri"/>
          <w:sz w:val="20"/>
          <w:szCs w:val="20"/>
        </w:rPr>
        <w:t xml:space="preserve">kwalifikowany </w:t>
      </w:r>
      <w:r w:rsidRPr="000A5897">
        <w:rPr>
          <w:rFonts w:ascii="Calibri" w:hAnsi="Calibri" w:cs="Calibri"/>
          <w:sz w:val="20"/>
          <w:szCs w:val="20"/>
        </w:rPr>
        <w:t>Wykonawcy lub jego upełnomocnionego przedstawiciela</w:t>
      </w:r>
      <w:r w:rsidRPr="000A5897">
        <w:rPr>
          <w:rFonts w:ascii="Calibri" w:hAnsi="Calibri" w:cs="Calibri"/>
          <w:b/>
          <w:sz w:val="20"/>
          <w:szCs w:val="20"/>
          <w:vertAlign w:val="superscript"/>
        </w:rPr>
        <w:t>1</w:t>
      </w:r>
      <w:r w:rsidRPr="000A5897">
        <w:rPr>
          <w:rFonts w:ascii="Calibri" w:hAnsi="Calibri" w:cs="Calibri"/>
          <w:sz w:val="20"/>
          <w:szCs w:val="20"/>
        </w:rPr>
        <w:t>)</w:t>
      </w:r>
    </w:p>
    <w:p w:rsidR="00753B3C" w:rsidRPr="000A5897" w:rsidRDefault="00753B3C" w:rsidP="00753B3C">
      <w:pPr>
        <w:rPr>
          <w:rFonts w:ascii="Calibri" w:hAnsi="Calibri" w:cs="Calibri"/>
          <w:sz w:val="20"/>
          <w:szCs w:val="20"/>
        </w:rPr>
      </w:pPr>
    </w:p>
    <w:p w:rsidR="00753B3C" w:rsidRPr="000A5897" w:rsidRDefault="00753B3C" w:rsidP="00753B3C">
      <w:pPr>
        <w:jc w:val="both"/>
        <w:rPr>
          <w:rFonts w:ascii="Calibri" w:hAnsi="Calibri" w:cs="Calibri"/>
          <w:b/>
          <w:sz w:val="14"/>
          <w:szCs w:val="14"/>
          <w:vertAlign w:val="superscript"/>
        </w:rPr>
      </w:pPr>
    </w:p>
    <w:p w:rsidR="00753B3C" w:rsidRPr="000A5897" w:rsidRDefault="00753B3C" w:rsidP="00753B3C">
      <w:pPr>
        <w:jc w:val="both"/>
        <w:rPr>
          <w:rFonts w:ascii="Calibri" w:hAnsi="Calibri" w:cs="Calibri"/>
          <w:sz w:val="14"/>
          <w:szCs w:val="14"/>
        </w:rPr>
      </w:pPr>
      <w:r w:rsidRPr="000A5897">
        <w:rPr>
          <w:rFonts w:ascii="Calibri" w:hAnsi="Calibri" w:cs="Calibri"/>
          <w:b/>
          <w:sz w:val="14"/>
          <w:szCs w:val="14"/>
          <w:vertAlign w:val="superscript"/>
        </w:rPr>
        <w:t>1</w:t>
      </w:r>
      <w:r w:rsidRPr="000A5897">
        <w:rPr>
          <w:rFonts w:ascii="Calibri" w:hAnsi="Calibri" w:cs="Calibri"/>
          <w:sz w:val="14"/>
          <w:szCs w:val="14"/>
          <w:vertAlign w:val="superscript"/>
        </w:rPr>
        <w:t xml:space="preserve"> </w:t>
      </w:r>
      <w:r w:rsidRPr="000A5897">
        <w:rPr>
          <w:rFonts w:ascii="Calibri" w:hAnsi="Calibri" w:cs="Calibri"/>
          <w:sz w:val="14"/>
          <w:szCs w:val="14"/>
        </w:rPr>
        <w:t>Podpis (-y) osoby (osób) uprawnionych do reprezentowania Wykonawcy zgodnie z:</w:t>
      </w:r>
    </w:p>
    <w:p w:rsidR="00753B3C" w:rsidRPr="000A5897" w:rsidRDefault="00753B3C" w:rsidP="00753B3C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sz w:val="14"/>
          <w:szCs w:val="14"/>
          <w:vertAlign w:val="superscript"/>
        </w:rPr>
      </w:pPr>
      <w:r w:rsidRPr="000A5897">
        <w:rPr>
          <w:rFonts w:ascii="Calibri" w:hAnsi="Calibri" w:cs="Calibri"/>
          <w:sz w:val="14"/>
          <w:szCs w:val="14"/>
        </w:rPr>
        <w:t xml:space="preserve">Zapisami w dokumencie stwierdzającym status prawny Wykonawcy (odpis z właściwego rejestru), </w:t>
      </w:r>
    </w:p>
    <w:p w:rsidR="00753B3C" w:rsidRPr="000A5897" w:rsidRDefault="00753B3C" w:rsidP="00753B3C">
      <w:pPr>
        <w:ind w:left="720"/>
        <w:jc w:val="both"/>
        <w:rPr>
          <w:rFonts w:ascii="Calibri" w:hAnsi="Calibri" w:cs="Calibri"/>
          <w:sz w:val="14"/>
          <w:szCs w:val="14"/>
        </w:rPr>
      </w:pPr>
      <w:r w:rsidRPr="000A5897">
        <w:rPr>
          <w:rFonts w:ascii="Calibri" w:hAnsi="Calibri" w:cs="Calibri"/>
          <w:sz w:val="14"/>
          <w:szCs w:val="14"/>
        </w:rPr>
        <w:t>lub</w:t>
      </w:r>
    </w:p>
    <w:p w:rsidR="00753B3C" w:rsidRPr="000A5897" w:rsidRDefault="00753B3C" w:rsidP="00753B3C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sz w:val="14"/>
          <w:szCs w:val="14"/>
          <w:vertAlign w:val="superscript"/>
        </w:rPr>
      </w:pPr>
      <w:r w:rsidRPr="000A5897">
        <w:rPr>
          <w:rFonts w:ascii="Calibri" w:hAnsi="Calibri" w:cs="Calibri"/>
          <w:sz w:val="14"/>
          <w:szCs w:val="14"/>
        </w:rPr>
        <w:t>Pełnomocnictwem złożonym wraz z ofertą</w:t>
      </w:r>
    </w:p>
    <w:p w:rsidR="00753B3C" w:rsidRPr="000A5897" w:rsidRDefault="00753B3C" w:rsidP="00753B3C">
      <w:pPr>
        <w:rPr>
          <w:rFonts w:ascii="Calibri" w:hAnsi="Calibri" w:cs="Calibri"/>
          <w:sz w:val="14"/>
          <w:szCs w:val="14"/>
        </w:rPr>
      </w:pPr>
    </w:p>
    <w:p w:rsidR="00753B3C" w:rsidRPr="00753B3C" w:rsidRDefault="00753B3C" w:rsidP="00E73395">
      <w:pPr>
        <w:pStyle w:val="Akapitzlist"/>
        <w:jc w:val="both"/>
        <w:rPr>
          <w:sz w:val="24"/>
          <w:szCs w:val="24"/>
        </w:rPr>
      </w:pPr>
    </w:p>
    <w:sectPr w:rsidR="00753B3C" w:rsidRPr="00753B3C" w:rsidSect="00725D6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296" w:rsidRDefault="00CF2296" w:rsidP="00753B3C">
      <w:pPr>
        <w:spacing w:after="0" w:line="240" w:lineRule="auto"/>
      </w:pPr>
      <w:r>
        <w:separator/>
      </w:r>
    </w:p>
  </w:endnote>
  <w:endnote w:type="continuationSeparator" w:id="0">
    <w:p w:rsidR="00CF2296" w:rsidRDefault="00CF2296" w:rsidP="00753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0757122"/>
      <w:docPartObj>
        <w:docPartGallery w:val="Page Numbers (Bottom of Page)"/>
        <w:docPartUnique/>
      </w:docPartObj>
    </w:sdtPr>
    <w:sdtContent>
      <w:p w:rsidR="00753B3C" w:rsidRDefault="00753B3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53B3C" w:rsidRDefault="00753B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296" w:rsidRDefault="00CF2296" w:rsidP="00753B3C">
      <w:pPr>
        <w:spacing w:after="0" w:line="240" w:lineRule="auto"/>
      </w:pPr>
      <w:r>
        <w:separator/>
      </w:r>
    </w:p>
  </w:footnote>
  <w:footnote w:type="continuationSeparator" w:id="0">
    <w:p w:rsidR="00CF2296" w:rsidRDefault="00CF2296" w:rsidP="00753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70246"/>
    <w:multiLevelType w:val="hybridMultilevel"/>
    <w:tmpl w:val="335CC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16388"/>
    <w:multiLevelType w:val="hybridMultilevel"/>
    <w:tmpl w:val="262CE0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A57"/>
    <w:multiLevelType w:val="hybridMultilevel"/>
    <w:tmpl w:val="3E9AEA76"/>
    <w:lvl w:ilvl="0" w:tplc="460A8450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583"/>
    <w:rsid w:val="000672FE"/>
    <w:rsid w:val="00121E23"/>
    <w:rsid w:val="0017374B"/>
    <w:rsid w:val="002D71D3"/>
    <w:rsid w:val="00397C16"/>
    <w:rsid w:val="00471B8A"/>
    <w:rsid w:val="004F2583"/>
    <w:rsid w:val="00583067"/>
    <w:rsid w:val="0063612B"/>
    <w:rsid w:val="00725D6B"/>
    <w:rsid w:val="00753B3C"/>
    <w:rsid w:val="009D236E"/>
    <w:rsid w:val="00A07DAD"/>
    <w:rsid w:val="00CA020F"/>
    <w:rsid w:val="00CF2296"/>
    <w:rsid w:val="00D062DC"/>
    <w:rsid w:val="00D8439B"/>
    <w:rsid w:val="00DB2141"/>
    <w:rsid w:val="00DD6066"/>
    <w:rsid w:val="00E73395"/>
    <w:rsid w:val="00F7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53691-F49E-4D47-B907-876057A5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5D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C1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3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B3C"/>
  </w:style>
  <w:style w:type="paragraph" w:styleId="Stopka">
    <w:name w:val="footer"/>
    <w:basedOn w:val="Normalny"/>
    <w:link w:val="StopkaZnak"/>
    <w:uiPriority w:val="99"/>
    <w:unhideWhenUsed/>
    <w:rsid w:val="00753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A5B8-F66B-4053-A369-3327D2C59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1403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Piątek</dc:creator>
  <cp:lastModifiedBy>Małgorzata Lenik</cp:lastModifiedBy>
  <cp:revision>5</cp:revision>
  <cp:lastPrinted>2024-10-08T13:19:00Z</cp:lastPrinted>
  <dcterms:created xsi:type="dcterms:W3CDTF">2024-10-03T13:17:00Z</dcterms:created>
  <dcterms:modified xsi:type="dcterms:W3CDTF">2024-10-10T08:57:00Z</dcterms:modified>
</cp:coreProperties>
</file>